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jc w:val="center"/>
        <w:rPr>
          <w:rFonts w:hint="eastAsia" w:ascii="仿宋" w:hAnsi="仿宋" w:eastAsia="仿宋" w:cs="宋体"/>
          <w:color w:val="000000"/>
          <w:sz w:val="22"/>
          <w:szCs w:val="22"/>
        </w:rPr>
      </w:pPr>
      <w:r>
        <w:rPr>
          <w:rFonts w:hint="eastAsia" w:ascii="仿宋" w:hAnsi="仿宋" w:eastAsia="仿宋" w:cs="宋体"/>
          <w:b/>
          <w:bCs/>
          <w:sz w:val="44"/>
          <w:szCs w:val="44"/>
          <w:u w:val="single"/>
          <w:lang w:val="en-US" w:eastAsia="zh-CN"/>
        </w:rPr>
        <w:t>金冠铜业、金隆铜业以及庐江矿业项目柜体</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100</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02</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100</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不锈钢动力柜</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800*600*2000，具体见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配电柜15台图纸</w:t>
            </w:r>
          </w:p>
        </w:tc>
        <w:tc>
          <w:tcPr>
            <w:tcW w:w="112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不锈钢五折柜</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800*600*2200，具体</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12台图纸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不锈钢动力箱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1550*1000*450，具体见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19台 PLC 柜子壳体图</w:t>
            </w:r>
            <w:bookmarkStart w:id="0" w:name="_GoBack"/>
            <w:bookmarkEnd w:id="0"/>
            <w:r>
              <w:rPr>
                <w:rFonts w:hint="eastAsia" w:ascii="宋体" w:hAnsi="宋体" w:eastAsia="宋体" w:cs="宋体"/>
                <w:i w:val="0"/>
                <w:iCs w:val="0"/>
                <w:color w:val="000000"/>
                <w:kern w:val="0"/>
                <w:sz w:val="22"/>
                <w:szCs w:val="22"/>
                <w:u w:val="none"/>
                <w:lang w:val="en-US" w:eastAsia="zh-CN" w:bidi="ar"/>
              </w:rPr>
              <w:t>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4</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400*500*250，具体见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5</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不锈钢控制箱，600*800*250，具体见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6</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r>
              <w:rPr>
                <w:rFonts w:hint="eastAsia" w:ascii="宋体" w:hAnsi="宋体" w:cs="宋体"/>
                <w:i w:val="0"/>
                <w:iCs w:val="0"/>
                <w:color w:val="000000"/>
                <w:kern w:val="0"/>
                <w:sz w:val="22"/>
                <w:szCs w:val="22"/>
                <w:u w:val="none"/>
                <w:lang w:val="en-US" w:eastAsia="zh-CN" w:bidi="ar"/>
              </w:rPr>
              <w:t>具体见铜冠建安公司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100</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